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right"/>
      </w:pPr>
      <w:r w:rsidDel="00000000" w:rsidR="00000000" w:rsidRPr="00000000">
        <w:drawing>
          <wp:inline distB="0" distT="0" distL="114300" distR="114300">
            <wp:extent cx="7648575" cy="152400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9645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190500</wp:posOffset>
                </wp:positionV>
                <wp:extent cx="66040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40825" y="3780000"/>
                          <a:ext cx="661034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97B85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190500</wp:posOffset>
                </wp:positionV>
                <wp:extent cx="66040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200" w:before="0" w:line="276" w:lineRule="auto"/>
        <w:ind w:right="-733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Differentiating for Learning in STEM Teaching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Learning at the heart of Differentiating for Learning</w:t>
      </w:r>
    </w:p>
    <w:tbl>
      <w:tblPr>
        <w:tblStyle w:val="Table1"/>
        <w:bidi w:val="0"/>
        <w:tblW w:w="10920.0" w:type="dxa"/>
        <w:jc w:val="left"/>
        <w:tblInd w:w="-353.0" w:type="dxa"/>
        <w:tblLayout w:type="fixed"/>
        <w:tblLook w:val="0400"/>
      </w:tblPr>
      <w:tblGrid>
        <w:gridCol w:w="5460"/>
        <w:gridCol w:w="5460"/>
        <w:tblGridChange w:id="0">
          <w:tblGrid>
            <w:gridCol w:w="5460"/>
            <w:gridCol w:w="5460"/>
          </w:tblGrid>
        </w:tblGridChange>
      </w:tblGrid>
      <w:tr>
        <w:tc>
          <w:tcPr>
            <w:tcBorders>
              <w:bottom w:color="ededee" w:space="0" w:sz="6" w:val="single"/>
              <w:right w:color="ededee" w:space="0" w:sz="6" w:val="single"/>
            </w:tcBorders>
            <w:shd w:fill="ffffff"/>
            <w:tcMar>
              <w:top w:w="240.0" w:type="dxa"/>
              <w:left w:w="0.0" w:type="dxa"/>
              <w:bottom w:w="240.0" w:type="dxa"/>
              <w:right w:w="240.0" w:type="dxa"/>
            </w:tcMar>
            <w:vAlign w:val="center"/>
          </w:tcPr>
          <w:p w:rsidR="00000000" w:rsidDel="00000000" w:rsidP="00000000" w:rsidRDefault="00000000" w:rsidRPr="00000000">
            <w:pPr>
              <w:spacing w:after="490" w:before="490" w:line="240" w:lineRule="auto"/>
              <w:contextualSpacing w:val="0"/>
            </w:pPr>
            <w:r w:rsidDel="00000000" w:rsidR="00000000" w:rsidRPr="00000000">
              <w:rPr>
                <w:b w:val="1"/>
                <w:color w:val="3a343a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dedee" w:space="0" w:sz="6" w:val="single"/>
              <w:right w:color="000000" w:space="0" w:sz="0" w:val="nil"/>
            </w:tcBorders>
            <w:shd w:fill="ffffff"/>
            <w:tcMar>
              <w:top w:w="240.0" w:type="dxa"/>
              <w:left w:w="240.0" w:type="dxa"/>
              <w:bottom w:w="2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490" w:before="490" w:line="240" w:lineRule="auto"/>
              <w:contextualSpacing w:val="0"/>
            </w:pPr>
            <w:r w:rsidDel="00000000" w:rsidR="00000000" w:rsidRPr="00000000">
              <w:rPr>
                <w:b w:val="1"/>
                <w:color w:val="3a343a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ededee" w:space="0" w:sz="6" w:val="single"/>
              <w:right w:color="ededee" w:space="0" w:sz="6" w:val="single"/>
            </w:tcBorders>
            <w:shd w:fill="ffffff"/>
            <w:tcMar>
              <w:top w:w="240.0" w:type="dxa"/>
              <w:left w:w="0.0" w:type="dxa"/>
              <w:bottom w:w="240.0" w:type="dxa"/>
              <w:right w:w="240.0" w:type="dxa"/>
            </w:tcMar>
            <w:vAlign w:val="center"/>
          </w:tcPr>
          <w:p w:rsidR="00000000" w:rsidDel="00000000" w:rsidP="00000000" w:rsidRDefault="00000000" w:rsidRPr="00000000">
            <w:pPr>
              <w:spacing w:after="490" w:before="49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color w:val="3a343a"/>
                <w:rtl w:val="0"/>
              </w:rPr>
              <w:t xml:space="preserve">How we allow appropriate access to the learning for the students.</w:t>
            </w:r>
          </w:p>
        </w:tc>
        <w:tc>
          <w:tcPr>
            <w:tcBorders>
              <w:bottom w:color="ededee" w:space="0" w:sz="6" w:val="single"/>
              <w:right w:color="000000" w:space="0" w:sz="0" w:val="nil"/>
            </w:tcBorders>
            <w:shd w:fill="ffffff"/>
            <w:tcMar>
              <w:top w:w="240.0" w:type="dxa"/>
              <w:left w:w="240.0" w:type="dxa"/>
              <w:bottom w:w="2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490" w:before="490" w:line="240" w:lineRule="auto"/>
              <w:contextualSpacing w:val="0"/>
            </w:pPr>
            <w:r w:rsidDel="00000000" w:rsidR="00000000" w:rsidRPr="00000000">
              <w:rPr>
                <w:color w:val="3a343a"/>
                <w:rtl w:val="0"/>
              </w:rPr>
              <w:t xml:space="preserve">How students communicate their learning.</w:t>
            </w:r>
          </w:p>
        </w:tc>
      </w:tr>
      <w:tr>
        <w:tc>
          <w:tcPr>
            <w:tcBorders>
              <w:bottom w:color="ededee" w:space="0" w:sz="6" w:val="single"/>
              <w:right w:color="ededee" w:space="0" w:sz="6" w:val="single"/>
            </w:tcBorders>
            <w:shd w:fill="ffffff"/>
            <w:tcMar>
              <w:top w:w="240.0" w:type="dxa"/>
              <w:left w:w="0.0" w:type="dxa"/>
              <w:bottom w:w="240.0" w:type="dxa"/>
              <w:right w:w="240.0" w:type="dxa"/>
            </w:tcMar>
            <w:vAlign w:val="center"/>
          </w:tcPr>
          <w:p w:rsidR="00000000" w:rsidDel="00000000" w:rsidP="00000000" w:rsidRDefault="00000000" w:rsidRPr="00000000">
            <w:pPr>
              <w:spacing w:after="490" w:before="490" w:line="240" w:lineRule="auto"/>
              <w:contextualSpacing w:val="0"/>
            </w:pPr>
            <w:r w:rsidDel="00000000" w:rsidR="00000000" w:rsidRPr="00000000">
              <w:rPr>
                <w:b w:val="1"/>
                <w:color w:val="3a343a"/>
                <w:rtl w:val="0"/>
              </w:rPr>
              <w:t xml:space="preserve">Intervention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dedee" w:space="0" w:sz="6" w:val="single"/>
              <w:right w:color="000000" w:space="0" w:sz="0" w:val="nil"/>
            </w:tcBorders>
            <w:shd w:fill="ffffff"/>
            <w:tcMar>
              <w:top w:w="240.0" w:type="dxa"/>
              <w:left w:w="240.0" w:type="dxa"/>
              <w:bottom w:w="2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490" w:before="490" w:line="240" w:lineRule="auto"/>
              <w:contextualSpacing w:val="0"/>
            </w:pPr>
            <w:r w:rsidDel="00000000" w:rsidR="00000000" w:rsidRPr="00000000">
              <w:rPr>
                <w:b w:val="1"/>
                <w:color w:val="3a343a"/>
                <w:rtl w:val="0"/>
              </w:rPr>
              <w:t xml:space="preserve">Route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ededee" w:space="0" w:sz="6" w:val="single"/>
            </w:tcBorders>
            <w:shd w:fill="ffffff"/>
            <w:tcMar>
              <w:top w:w="240.0" w:type="dxa"/>
              <w:left w:w="0.0" w:type="dxa"/>
              <w:bottom w:w="120.0" w:type="dxa"/>
              <w:right w:w="240.0" w:type="dxa"/>
            </w:tcMar>
            <w:vAlign w:val="center"/>
          </w:tcPr>
          <w:p w:rsidR="00000000" w:rsidDel="00000000" w:rsidP="00000000" w:rsidRDefault="00000000" w:rsidRPr="00000000">
            <w:pPr>
              <w:spacing w:after="490" w:before="490" w:line="240" w:lineRule="auto"/>
              <w:contextualSpacing w:val="0"/>
            </w:pPr>
            <w:r w:rsidDel="00000000" w:rsidR="00000000" w:rsidRPr="00000000">
              <w:rPr>
                <w:color w:val="3a343a"/>
                <w:rtl w:val="0"/>
              </w:rPr>
              <w:t xml:space="preserve">The roles undertaken by the teacher and others’ during the learning.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ffffff"/>
            <w:tcMar>
              <w:top w:w="240.0" w:type="dxa"/>
              <w:left w:w="240.0" w:type="dxa"/>
              <w:bottom w:w="12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490" w:before="490" w:line="240" w:lineRule="auto"/>
              <w:contextualSpacing w:val="0"/>
            </w:pPr>
            <w:r w:rsidDel="00000000" w:rsidR="00000000" w:rsidRPr="00000000">
              <w:rPr>
                <w:color w:val="3a343a"/>
                <w:rtl w:val="0"/>
              </w:rPr>
              <w:t xml:space="preserve">Allowing students different journeys through the learning.</w:t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ind w:right="-733"/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851" w:right="851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708" w:line="240" w:lineRule="auto"/>
      <w:contextualSpacing w:val="0"/>
      <w:jc w:val="right"/>
    </w:pPr>
    <w:r w:rsidDel="00000000" w:rsidR="00000000" w:rsidRPr="00000000">
      <w:drawing>
        <wp:inline distB="0" distT="0" distL="0" distR="0">
          <wp:extent cx="1930947" cy="772488"/>
          <wp:effectExtent b="0" l="0" r="0" t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0947" cy="772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120" w:line="276" w:lineRule="auto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="276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="276" w:lineRule="auto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="276" w:lineRule="auto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240" w:line="276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120" w:before="240" w:line="276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240" w:line="240" w:lineRule="auto"/>
    </w:pPr>
    <w:rPr>
      <w:rFonts w:ascii="Arial" w:cs="Arial" w:eastAsia="Arial" w:hAnsi="Arial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120" w:line="276" w:lineRule="auto"/>
    </w:pPr>
    <w:rPr>
      <w:rFonts w:ascii="Arial" w:cs="Arial" w:eastAsia="Arial" w:hAnsi="Arial"/>
      <w:b w:val="0"/>
      <w:i w:val="1"/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5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jpg"/></Relationships>
</file>